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5B" w:rsidRDefault="002F7E5B" w:rsidP="002F7E5B">
      <w:r>
        <w:rPr>
          <w:rFonts w:ascii="Arial" w:hAnsi="Arial" w:cs="Arial"/>
          <w:noProof/>
          <w:color w:val="0000FF"/>
          <w:sz w:val="20"/>
          <w:szCs w:val="20"/>
          <w:lang w:eastAsia="fr-FR"/>
        </w:rPr>
        <w:drawing>
          <wp:inline distT="0" distB="0" distL="0" distR="0" wp14:anchorId="6F44D870" wp14:editId="2C476E46">
            <wp:extent cx="2030730" cy="1146175"/>
            <wp:effectExtent l="0" t="0" r="7620" b="0"/>
            <wp:docPr id="1" name="Image 1" descr="https://www.ac-orleans-tours.fr/fileadmin/user_upload/acad/communication/newsletters/images/logo-dsden-37-ren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orleans-tours.fr/fileadmin/user_upload/acad/communication/newsletters/images/logo-dsden-37-ren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730" cy="1146175"/>
                    </a:xfrm>
                    <a:prstGeom prst="rect">
                      <a:avLst/>
                    </a:prstGeom>
                    <a:noFill/>
                    <a:ln>
                      <a:noFill/>
                    </a:ln>
                  </pic:spPr>
                </pic:pic>
              </a:graphicData>
            </a:graphic>
          </wp:inline>
        </w:drawing>
      </w:r>
    </w:p>
    <w:p w:rsidR="00182B3A" w:rsidRDefault="00182B3A" w:rsidP="002F7E5B"/>
    <w:p w:rsidR="00182B3A" w:rsidRDefault="00182B3A" w:rsidP="002F7E5B">
      <w:r>
        <w:rPr>
          <w:color w:val="002060"/>
        </w:rPr>
        <w:t xml:space="preserve">Compte tenu du déclenchement hier du stade 2 du plan de prévention et de gestion, </w:t>
      </w:r>
      <w:r>
        <w:rPr>
          <w:b/>
          <w:bCs/>
          <w:color w:val="002060"/>
        </w:rPr>
        <w:t>aucune mesure de confinement ne s’applique désormais aux élèves et personnels de retour des zones à risque</w:t>
      </w:r>
      <w:r>
        <w:rPr>
          <w:color w:val="002060"/>
        </w:rPr>
        <w:t xml:space="preserve"> (Italie du Nord, Chine hors Hubei, Iran…). En effet, ces mesures du stade 1, destinées à éviter l’entrée du virus en France, n’ont plus d’utilité selon les autorités sanitaires dès lors que le virus circule en France.  Seuls les élèves et les personnels de retour de la province du Hubei (en principe il n’y en a plus) ou d’un des deux « clusters » du territoire français (Oise et Haute-Savoie)  font l’objet à titre conservatoire de telles mesures et jusqu’à nouvel ordre.</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2F7E5B" w:rsidTr="002F7E5B">
        <w:trPr>
          <w:tblCellSpacing w:w="0" w:type="dxa"/>
        </w:trPr>
        <w:tc>
          <w:tcPr>
            <w:tcW w:w="0" w:type="auto"/>
            <w:noWrap/>
            <w:hideMark/>
          </w:tcPr>
          <w:p w:rsidR="002F7E5B" w:rsidRDefault="002F7E5B">
            <w:pPr>
              <w:jc w:val="right"/>
              <w:rPr>
                <w:b/>
                <w:bCs/>
              </w:rPr>
            </w:pPr>
          </w:p>
        </w:tc>
        <w:tc>
          <w:tcPr>
            <w:tcW w:w="0" w:type="auto"/>
            <w:vAlign w:val="center"/>
            <w:hideMark/>
          </w:tcPr>
          <w:p w:rsidR="002F7E5B" w:rsidRDefault="002F7E5B"/>
        </w:tc>
      </w:tr>
      <w:tr w:rsidR="002F7E5B" w:rsidTr="002F7E5B">
        <w:trPr>
          <w:tblCellSpacing w:w="0" w:type="dxa"/>
        </w:trPr>
        <w:tc>
          <w:tcPr>
            <w:tcW w:w="0" w:type="auto"/>
            <w:noWrap/>
            <w:hideMark/>
          </w:tcPr>
          <w:p w:rsidR="002F7E5B" w:rsidRDefault="002F7E5B">
            <w:pPr>
              <w:jc w:val="right"/>
              <w:rPr>
                <w:b/>
                <w:bCs/>
              </w:rPr>
            </w:pPr>
          </w:p>
        </w:tc>
        <w:tc>
          <w:tcPr>
            <w:tcW w:w="0" w:type="auto"/>
            <w:vAlign w:val="center"/>
            <w:hideMark/>
          </w:tcPr>
          <w:p w:rsidR="002F7E5B" w:rsidRDefault="002F7E5B"/>
        </w:tc>
      </w:tr>
      <w:tr w:rsidR="002F7E5B" w:rsidTr="002F7E5B">
        <w:trPr>
          <w:tblCellSpacing w:w="0" w:type="dxa"/>
        </w:trPr>
        <w:tc>
          <w:tcPr>
            <w:tcW w:w="0" w:type="auto"/>
            <w:noWrap/>
            <w:hideMark/>
          </w:tcPr>
          <w:p w:rsidR="002F7E5B" w:rsidRDefault="002F7E5B">
            <w:pPr>
              <w:jc w:val="right"/>
              <w:rPr>
                <w:b/>
                <w:bCs/>
              </w:rPr>
            </w:pPr>
          </w:p>
        </w:tc>
        <w:tc>
          <w:tcPr>
            <w:tcW w:w="0" w:type="auto"/>
            <w:vAlign w:val="center"/>
            <w:hideMark/>
          </w:tcPr>
          <w:p w:rsidR="002F7E5B" w:rsidRDefault="002F7E5B"/>
        </w:tc>
      </w:tr>
      <w:tr w:rsidR="002F7E5B" w:rsidTr="002F7E5B">
        <w:trPr>
          <w:tblCellSpacing w:w="0" w:type="dxa"/>
        </w:trPr>
        <w:tc>
          <w:tcPr>
            <w:tcW w:w="0" w:type="auto"/>
            <w:noWrap/>
            <w:hideMark/>
          </w:tcPr>
          <w:p w:rsidR="002F7E5B" w:rsidRDefault="002F7E5B">
            <w:pPr>
              <w:jc w:val="right"/>
              <w:rPr>
                <w:b/>
                <w:bCs/>
              </w:rPr>
            </w:pPr>
          </w:p>
        </w:tc>
        <w:tc>
          <w:tcPr>
            <w:tcW w:w="0" w:type="auto"/>
            <w:vAlign w:val="center"/>
            <w:hideMark/>
          </w:tcPr>
          <w:p w:rsidR="002F7E5B" w:rsidRDefault="002F7E5B"/>
        </w:tc>
      </w:tr>
      <w:tr w:rsidR="002F7E5B" w:rsidTr="002F7E5B">
        <w:trPr>
          <w:tblCellSpacing w:w="0" w:type="dxa"/>
        </w:trPr>
        <w:tc>
          <w:tcPr>
            <w:tcW w:w="0" w:type="auto"/>
            <w:noWrap/>
            <w:hideMark/>
          </w:tcPr>
          <w:p w:rsidR="002F7E5B" w:rsidRDefault="002F7E5B">
            <w:pPr>
              <w:jc w:val="right"/>
              <w:rPr>
                <w:b/>
                <w:bCs/>
              </w:rPr>
            </w:pPr>
          </w:p>
        </w:tc>
        <w:tc>
          <w:tcPr>
            <w:tcW w:w="0" w:type="auto"/>
            <w:vAlign w:val="center"/>
            <w:hideMark/>
          </w:tcPr>
          <w:p w:rsidR="002F7E5B" w:rsidRDefault="002F7E5B"/>
        </w:tc>
      </w:tr>
      <w:tr w:rsidR="002F7E5B" w:rsidTr="002F7E5B">
        <w:trPr>
          <w:tblCellSpacing w:w="0" w:type="dxa"/>
        </w:trPr>
        <w:tc>
          <w:tcPr>
            <w:tcW w:w="0" w:type="auto"/>
            <w:noWrap/>
            <w:hideMark/>
          </w:tcPr>
          <w:p w:rsidR="002F7E5B" w:rsidRDefault="002F7E5B">
            <w:pPr>
              <w:jc w:val="right"/>
              <w:rPr>
                <w:b/>
                <w:bCs/>
              </w:rPr>
            </w:pPr>
          </w:p>
        </w:tc>
        <w:tc>
          <w:tcPr>
            <w:tcW w:w="0" w:type="auto"/>
            <w:vAlign w:val="center"/>
            <w:hideMark/>
          </w:tcPr>
          <w:p w:rsidR="002F7E5B" w:rsidRDefault="002F7E5B"/>
        </w:tc>
      </w:tr>
    </w:tbl>
    <w:p w:rsidR="002F7E5B" w:rsidRDefault="002F7E5B" w:rsidP="002F7E5B">
      <w:r>
        <w:rPr>
          <w:color w:val="1F497D"/>
        </w:rPr>
        <w:t> </w:t>
      </w:r>
    </w:p>
    <w:tbl>
      <w:tblPr>
        <w:tblW w:w="0" w:type="auto"/>
        <w:tblInd w:w="4912" w:type="dxa"/>
        <w:tblCellMar>
          <w:left w:w="0" w:type="dxa"/>
          <w:right w:w="0" w:type="dxa"/>
        </w:tblCellMar>
        <w:tblLook w:val="04A0" w:firstRow="1" w:lastRow="0" w:firstColumn="1" w:lastColumn="0" w:noHBand="0" w:noVBand="1"/>
      </w:tblPr>
      <w:tblGrid>
        <w:gridCol w:w="4140"/>
      </w:tblGrid>
      <w:tr w:rsidR="002F7E5B" w:rsidTr="002F7E5B">
        <w:trPr>
          <w:trHeight w:val="749"/>
        </w:trPr>
        <w:tc>
          <w:tcPr>
            <w:tcW w:w="9546" w:type="dxa"/>
            <w:tcBorders>
              <w:top w:val="single" w:sz="8" w:space="0" w:color="9F8AB9"/>
              <w:left w:val="single" w:sz="8" w:space="0" w:color="9F8AB9"/>
              <w:bottom w:val="single" w:sz="8" w:space="0" w:color="9F8AB9"/>
              <w:right w:val="single" w:sz="8" w:space="0" w:color="9F8AB9"/>
            </w:tcBorders>
            <w:shd w:val="clear" w:color="auto" w:fill="8064A2"/>
            <w:tcMar>
              <w:top w:w="0" w:type="dxa"/>
              <w:left w:w="108" w:type="dxa"/>
              <w:bottom w:w="0" w:type="dxa"/>
              <w:right w:w="108" w:type="dxa"/>
            </w:tcMar>
            <w:vAlign w:val="center"/>
            <w:hideMark/>
          </w:tcPr>
          <w:p w:rsidR="002F7E5B" w:rsidRDefault="002F7E5B">
            <w:pPr>
              <w:jc w:val="center"/>
            </w:pPr>
          </w:p>
        </w:tc>
      </w:tr>
      <w:tr w:rsidR="002F7E5B" w:rsidTr="002F7E5B">
        <w:trPr>
          <w:trHeight w:val="547"/>
        </w:trPr>
        <w:tc>
          <w:tcPr>
            <w:tcW w:w="9546" w:type="dxa"/>
            <w:tcBorders>
              <w:top w:val="nil"/>
              <w:left w:val="single" w:sz="8" w:space="0" w:color="9F8AB9"/>
              <w:bottom w:val="single" w:sz="8" w:space="0" w:color="9F8AB9"/>
              <w:right w:val="single" w:sz="8" w:space="0" w:color="9F8AB9"/>
            </w:tcBorders>
            <w:shd w:val="clear" w:color="auto" w:fill="DFD8E8"/>
            <w:tcMar>
              <w:top w:w="0" w:type="dxa"/>
              <w:left w:w="108" w:type="dxa"/>
              <w:bottom w:w="0" w:type="dxa"/>
              <w:right w:w="108" w:type="dxa"/>
            </w:tcMar>
            <w:vAlign w:val="center"/>
            <w:hideMark/>
          </w:tcPr>
          <w:p w:rsidR="002F7E5B" w:rsidRDefault="002F7E5B">
            <w:pPr>
              <w:jc w:val="center"/>
            </w:pPr>
            <w:r>
              <w:rPr>
                <w:b/>
                <w:bCs/>
                <w:sz w:val="28"/>
                <w:szCs w:val="28"/>
              </w:rPr>
              <w:t>02/03/2020 – 07 : 00</w:t>
            </w:r>
          </w:p>
        </w:tc>
      </w:tr>
    </w:tbl>
    <w:p w:rsidR="002F7E5B" w:rsidRDefault="002F7E5B" w:rsidP="002F7E5B">
      <w:r>
        <w:t> </w:t>
      </w:r>
    </w:p>
    <w:tbl>
      <w:tblPr>
        <w:tblW w:w="0" w:type="auto"/>
        <w:tblInd w:w="4890" w:type="dxa"/>
        <w:tblCellMar>
          <w:left w:w="0" w:type="dxa"/>
          <w:right w:w="0" w:type="dxa"/>
        </w:tblCellMar>
        <w:tblLook w:val="04A0" w:firstRow="1" w:lastRow="0" w:firstColumn="1" w:lastColumn="0" w:noHBand="0" w:noVBand="1"/>
      </w:tblPr>
      <w:tblGrid>
        <w:gridCol w:w="4182"/>
      </w:tblGrid>
      <w:tr w:rsidR="002F7E5B" w:rsidTr="002F7E5B">
        <w:tc>
          <w:tcPr>
            <w:tcW w:w="9546" w:type="dxa"/>
            <w:tcBorders>
              <w:top w:val="nil"/>
              <w:left w:val="nil"/>
              <w:bottom w:val="single" w:sz="12" w:space="0" w:color="FFFFFF"/>
              <w:right w:val="nil"/>
            </w:tcBorders>
            <w:shd w:val="clear" w:color="auto" w:fill="664E82"/>
            <w:tcMar>
              <w:top w:w="0" w:type="dxa"/>
              <w:left w:w="108" w:type="dxa"/>
              <w:bottom w:w="0" w:type="dxa"/>
              <w:right w:w="108" w:type="dxa"/>
            </w:tcMar>
            <w:hideMark/>
          </w:tcPr>
          <w:p w:rsidR="002F7E5B" w:rsidRDefault="002F7E5B">
            <w:pPr>
              <w:jc w:val="center"/>
            </w:pPr>
            <w:r>
              <w:rPr>
                <w:b/>
                <w:bCs/>
                <w:color w:val="FFFFFF"/>
              </w:rPr>
              <w:t>CLUSTERS</w:t>
            </w:r>
          </w:p>
        </w:tc>
      </w:tr>
      <w:tr w:rsidR="002F7E5B" w:rsidTr="002F7E5B">
        <w:tc>
          <w:tcPr>
            <w:tcW w:w="9546" w:type="dxa"/>
            <w:shd w:val="clear" w:color="auto" w:fill="EAF1DD"/>
            <w:tcMar>
              <w:top w:w="0" w:type="dxa"/>
              <w:left w:w="108" w:type="dxa"/>
              <w:bottom w:w="0" w:type="dxa"/>
              <w:right w:w="108" w:type="dxa"/>
            </w:tcMar>
            <w:hideMark/>
          </w:tcPr>
          <w:p w:rsidR="002F7E5B" w:rsidRDefault="002F7E5B">
            <w:r>
              <w:rPr>
                <w:b/>
                <w:bCs/>
                <w:color w:val="000000"/>
              </w:rPr>
              <w:t> </w:t>
            </w:r>
          </w:p>
        </w:tc>
      </w:tr>
      <w:tr w:rsidR="002F7E5B" w:rsidTr="002F7E5B">
        <w:tc>
          <w:tcPr>
            <w:tcW w:w="9546" w:type="dxa"/>
            <w:shd w:val="clear" w:color="auto" w:fill="F5F8EE"/>
            <w:tcMar>
              <w:top w:w="0" w:type="dxa"/>
              <w:left w:w="108" w:type="dxa"/>
              <w:bottom w:w="0" w:type="dxa"/>
              <w:right w:w="108" w:type="dxa"/>
            </w:tcMar>
            <w:hideMark/>
          </w:tcPr>
          <w:p w:rsidR="002F7E5B" w:rsidRDefault="002F7E5B">
            <w:r>
              <w:rPr>
                <w:b/>
                <w:bCs/>
                <w:color w:val="000000"/>
              </w:rPr>
              <w:t>A ce jour et à cette heure, ci-dessous la liste des communes comprises dans les clusters :</w:t>
            </w:r>
          </w:p>
          <w:p w:rsidR="002F7E5B" w:rsidRDefault="002F7E5B">
            <w:r>
              <w:rPr>
                <w:b/>
                <w:bCs/>
                <w:color w:val="000000"/>
              </w:rPr>
              <w:t> </w:t>
            </w:r>
          </w:p>
          <w:p w:rsidR="002F7E5B" w:rsidRDefault="002F7E5B">
            <w:r>
              <w:rPr>
                <w:b/>
                <w:bCs/>
                <w:color w:val="000000"/>
              </w:rPr>
              <w:t>Département de l’OISE (60) :</w:t>
            </w:r>
          </w:p>
          <w:p w:rsidR="002F7E5B" w:rsidRDefault="002F7E5B" w:rsidP="00005A44">
            <w:pPr>
              <w:pStyle w:val="Paragraphedeliste"/>
              <w:numPr>
                <w:ilvl w:val="0"/>
                <w:numId w:val="1"/>
              </w:numPr>
            </w:pPr>
            <w:r>
              <w:rPr>
                <w:b/>
                <w:bCs/>
                <w:color w:val="000000"/>
              </w:rPr>
              <w:t>CREIL</w:t>
            </w:r>
          </w:p>
          <w:p w:rsidR="002F7E5B" w:rsidRDefault="002F7E5B" w:rsidP="00005A44">
            <w:pPr>
              <w:pStyle w:val="Paragraphedeliste"/>
              <w:numPr>
                <w:ilvl w:val="0"/>
                <w:numId w:val="1"/>
              </w:numPr>
            </w:pPr>
            <w:r>
              <w:rPr>
                <w:b/>
                <w:bCs/>
                <w:color w:val="000000"/>
              </w:rPr>
              <w:t>NOGENT-SUR-OISE</w:t>
            </w:r>
          </w:p>
          <w:p w:rsidR="002F7E5B" w:rsidRDefault="002F7E5B" w:rsidP="00005A44">
            <w:pPr>
              <w:pStyle w:val="Paragraphedeliste"/>
              <w:numPr>
                <w:ilvl w:val="0"/>
                <w:numId w:val="1"/>
              </w:numPr>
            </w:pPr>
            <w:r>
              <w:rPr>
                <w:b/>
                <w:bCs/>
                <w:color w:val="000000"/>
              </w:rPr>
              <w:t>MONTATAIRE</w:t>
            </w:r>
          </w:p>
          <w:p w:rsidR="002F7E5B" w:rsidRDefault="002F7E5B" w:rsidP="00005A44">
            <w:pPr>
              <w:pStyle w:val="Paragraphedeliste"/>
              <w:numPr>
                <w:ilvl w:val="0"/>
                <w:numId w:val="1"/>
              </w:numPr>
            </w:pPr>
            <w:r>
              <w:rPr>
                <w:b/>
                <w:bCs/>
                <w:color w:val="000000"/>
              </w:rPr>
              <w:t>VILLIERS-SAINT-PAUL</w:t>
            </w:r>
          </w:p>
          <w:p w:rsidR="002F7E5B" w:rsidRDefault="002F7E5B" w:rsidP="00005A44">
            <w:pPr>
              <w:pStyle w:val="Paragraphedeliste"/>
              <w:numPr>
                <w:ilvl w:val="0"/>
                <w:numId w:val="1"/>
              </w:numPr>
            </w:pPr>
            <w:r>
              <w:rPr>
                <w:b/>
                <w:bCs/>
                <w:color w:val="000000"/>
              </w:rPr>
              <w:t>CREPY-EN- VALOIS</w:t>
            </w:r>
          </w:p>
          <w:p w:rsidR="002F7E5B" w:rsidRDefault="002F7E5B" w:rsidP="00005A44">
            <w:pPr>
              <w:pStyle w:val="Paragraphedeliste"/>
              <w:numPr>
                <w:ilvl w:val="0"/>
                <w:numId w:val="1"/>
              </w:numPr>
            </w:pPr>
            <w:r>
              <w:rPr>
                <w:b/>
                <w:bCs/>
                <w:color w:val="000000"/>
              </w:rPr>
              <w:t>VAUMOISE</w:t>
            </w:r>
          </w:p>
          <w:p w:rsidR="002F7E5B" w:rsidRDefault="002F7E5B" w:rsidP="00005A44">
            <w:pPr>
              <w:pStyle w:val="Paragraphedeliste"/>
              <w:numPr>
                <w:ilvl w:val="0"/>
                <w:numId w:val="1"/>
              </w:numPr>
            </w:pPr>
            <w:r>
              <w:rPr>
                <w:b/>
                <w:bCs/>
                <w:color w:val="000000"/>
              </w:rPr>
              <w:t>LAGNY-LE-SEC</w:t>
            </w:r>
          </w:p>
          <w:p w:rsidR="002F7E5B" w:rsidRDefault="002F7E5B" w:rsidP="00005A44">
            <w:pPr>
              <w:pStyle w:val="Paragraphedeliste"/>
              <w:numPr>
                <w:ilvl w:val="0"/>
                <w:numId w:val="1"/>
              </w:numPr>
            </w:pPr>
            <w:r>
              <w:rPr>
                <w:b/>
                <w:bCs/>
                <w:color w:val="000000"/>
              </w:rPr>
              <w:t>LAMORLAYE</w:t>
            </w:r>
          </w:p>
          <w:p w:rsidR="002F7E5B" w:rsidRDefault="002F7E5B" w:rsidP="00005A44">
            <w:pPr>
              <w:pStyle w:val="Paragraphedeliste"/>
              <w:numPr>
                <w:ilvl w:val="0"/>
                <w:numId w:val="1"/>
              </w:numPr>
            </w:pPr>
            <w:r>
              <w:rPr>
                <w:b/>
                <w:bCs/>
                <w:color w:val="000000"/>
              </w:rPr>
              <w:t>LACROIX-SAINT-OUEN</w:t>
            </w:r>
          </w:p>
          <w:p w:rsidR="002F7E5B" w:rsidRDefault="002F7E5B">
            <w:r>
              <w:rPr>
                <w:b/>
                <w:bCs/>
                <w:color w:val="000000"/>
              </w:rPr>
              <w:t> </w:t>
            </w:r>
          </w:p>
          <w:p w:rsidR="002F7E5B" w:rsidRDefault="002F7E5B">
            <w:r>
              <w:rPr>
                <w:b/>
                <w:bCs/>
                <w:color w:val="000000"/>
              </w:rPr>
              <w:t xml:space="preserve">Département de HAUTE-SAVOIE (74) : </w:t>
            </w:r>
          </w:p>
          <w:p w:rsidR="002F7E5B" w:rsidRDefault="002F7E5B" w:rsidP="00005A44">
            <w:pPr>
              <w:pStyle w:val="Paragraphedeliste"/>
              <w:numPr>
                <w:ilvl w:val="0"/>
                <w:numId w:val="2"/>
              </w:numPr>
            </w:pPr>
            <w:r>
              <w:rPr>
                <w:b/>
                <w:bCs/>
                <w:color w:val="000000"/>
              </w:rPr>
              <w:t>LA BALME DE SILLINGY</w:t>
            </w:r>
          </w:p>
          <w:p w:rsidR="002F7E5B" w:rsidRDefault="002F7E5B">
            <w:r>
              <w:rPr>
                <w:b/>
                <w:bCs/>
                <w:color w:val="000000"/>
              </w:rPr>
              <w:t> </w:t>
            </w:r>
          </w:p>
          <w:p w:rsidR="002F7E5B" w:rsidRDefault="002F7E5B">
            <w:r>
              <w:rPr>
                <w:b/>
                <w:bCs/>
                <w:color w:val="000000"/>
              </w:rPr>
              <w:t>Département du MORBIHAN (35) :</w:t>
            </w:r>
          </w:p>
          <w:p w:rsidR="002F7E5B" w:rsidRDefault="002F7E5B" w:rsidP="00005A44">
            <w:pPr>
              <w:pStyle w:val="Paragraphedeliste"/>
              <w:numPr>
                <w:ilvl w:val="0"/>
                <w:numId w:val="2"/>
              </w:numPr>
            </w:pPr>
            <w:r>
              <w:rPr>
                <w:b/>
                <w:bCs/>
                <w:color w:val="000000"/>
              </w:rPr>
              <w:t>AURAY</w:t>
            </w:r>
          </w:p>
          <w:p w:rsidR="002F7E5B" w:rsidRDefault="002F7E5B" w:rsidP="00005A44">
            <w:pPr>
              <w:pStyle w:val="Paragraphedeliste"/>
              <w:numPr>
                <w:ilvl w:val="0"/>
                <w:numId w:val="2"/>
              </w:numPr>
            </w:pPr>
            <w:r>
              <w:rPr>
                <w:b/>
                <w:bCs/>
                <w:color w:val="000000"/>
              </w:rPr>
              <w:t>CARNAC</w:t>
            </w:r>
          </w:p>
          <w:p w:rsidR="002F7E5B" w:rsidRDefault="002F7E5B" w:rsidP="00005A44">
            <w:pPr>
              <w:pStyle w:val="Paragraphedeliste"/>
              <w:numPr>
                <w:ilvl w:val="0"/>
                <w:numId w:val="2"/>
              </w:numPr>
            </w:pPr>
            <w:r>
              <w:rPr>
                <w:b/>
                <w:bCs/>
                <w:color w:val="000000"/>
              </w:rPr>
              <w:t>CRAC’H</w:t>
            </w:r>
          </w:p>
          <w:p w:rsidR="002F7E5B" w:rsidRDefault="002F7E5B">
            <w:r>
              <w:rPr>
                <w:b/>
                <w:bCs/>
                <w:color w:val="000000"/>
              </w:rPr>
              <w:t> </w:t>
            </w:r>
          </w:p>
          <w:p w:rsidR="002F7E5B" w:rsidRDefault="002F7E5B">
            <w:pPr>
              <w:jc w:val="center"/>
            </w:pPr>
            <w:r>
              <w:rPr>
                <w:b/>
                <w:bCs/>
                <w:color w:val="000000"/>
              </w:rPr>
              <w:t>ATTENTION, LA LISTE DES CLUSTERS EST TRES EVOLUTIVE</w:t>
            </w:r>
          </w:p>
        </w:tc>
      </w:tr>
      <w:tr w:rsidR="002F7E5B" w:rsidTr="002F7E5B">
        <w:tc>
          <w:tcPr>
            <w:tcW w:w="9546" w:type="dxa"/>
            <w:shd w:val="clear" w:color="auto" w:fill="EAF1DD"/>
            <w:tcMar>
              <w:top w:w="0" w:type="dxa"/>
              <w:left w:w="108" w:type="dxa"/>
              <w:bottom w:w="0" w:type="dxa"/>
              <w:right w:w="108" w:type="dxa"/>
            </w:tcMar>
            <w:hideMark/>
          </w:tcPr>
          <w:p w:rsidR="002F7E5B" w:rsidRDefault="002F7E5B">
            <w:r>
              <w:rPr>
                <w:b/>
                <w:bCs/>
                <w:color w:val="000000"/>
              </w:rPr>
              <w:t>CMC</w:t>
            </w:r>
          </w:p>
          <w:p w:rsidR="002F7E5B" w:rsidRDefault="002F7E5B">
            <w:r>
              <w:rPr>
                <w:b/>
                <w:bCs/>
                <w:color w:val="000000"/>
              </w:rPr>
              <w:t>110, rue de Grenelle</w:t>
            </w:r>
          </w:p>
          <w:p w:rsidR="002F7E5B" w:rsidRDefault="002F7E5B">
            <w:r>
              <w:rPr>
                <w:b/>
                <w:bCs/>
                <w:color w:val="000000"/>
              </w:rPr>
              <w:t>75357 PARIS 07</w:t>
            </w:r>
          </w:p>
          <w:p w:rsidR="002F7E5B" w:rsidRDefault="002F7E5B"/>
        </w:tc>
      </w:tr>
    </w:tbl>
    <w:p w:rsidR="002F7E5B" w:rsidRDefault="002F7E5B" w:rsidP="002F7E5B">
      <w:bookmarkStart w:id="0" w:name="_GoBack"/>
      <w:bookmarkEnd w:id="0"/>
    </w:p>
    <w:p w:rsidR="002F7E5B" w:rsidRDefault="002F7E5B" w:rsidP="002F7E5B">
      <w:r>
        <w:t> </w:t>
      </w:r>
    </w:p>
    <w:p w:rsidR="002F7E5B" w:rsidRDefault="002F7E5B" w:rsidP="002F7E5B">
      <w:r>
        <w:t> </w:t>
      </w:r>
    </w:p>
    <w:p w:rsidR="00837805" w:rsidRDefault="00837805"/>
    <w:sectPr w:rsidR="00837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41164"/>
    <w:multiLevelType w:val="hybridMultilevel"/>
    <w:tmpl w:val="906C1258"/>
    <w:lvl w:ilvl="0" w:tplc="538CABA0">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3B64D88"/>
    <w:multiLevelType w:val="hybridMultilevel"/>
    <w:tmpl w:val="24B8FDAA"/>
    <w:lvl w:ilvl="0" w:tplc="B7BC27EE">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5B"/>
    <w:rsid w:val="00182B3A"/>
    <w:rsid w:val="002F7E5B"/>
    <w:rsid w:val="00837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29C2-52E4-4457-A9CC-A5FBC7B5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5B"/>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7E5B"/>
    <w:pPr>
      <w:spacing w:before="100" w:beforeAutospacing="1" w:after="100" w:afterAutospacing="1"/>
    </w:pPr>
    <w:rPr>
      <w:rFonts w:ascii="Times New Roman" w:hAnsi="Times New Roman"/>
      <w:sz w:val="24"/>
      <w:szCs w:val="24"/>
      <w:lang w:eastAsia="fr-FR"/>
    </w:rPr>
  </w:style>
  <w:style w:type="character" w:styleId="Lienhypertexte">
    <w:name w:val="Hyperlink"/>
    <w:basedOn w:val="Policepardfaut"/>
    <w:uiPriority w:val="99"/>
    <w:semiHidden/>
    <w:unhideWhenUsed/>
    <w:rsid w:val="002F7E5B"/>
    <w:rPr>
      <w:color w:val="0000FF"/>
      <w:u w:val="single"/>
    </w:rPr>
  </w:style>
  <w:style w:type="paragraph" w:styleId="Paragraphedeliste">
    <w:name w:val="List Paragraph"/>
    <w:basedOn w:val="Normal"/>
    <w:uiPriority w:val="34"/>
    <w:qFormat/>
    <w:rsid w:val="002F7E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1512">
      <w:bodyDiv w:val="1"/>
      <w:marLeft w:val="0"/>
      <w:marRight w:val="0"/>
      <w:marTop w:val="0"/>
      <w:marBottom w:val="0"/>
      <w:divBdr>
        <w:top w:val="none" w:sz="0" w:space="0" w:color="auto"/>
        <w:left w:val="none" w:sz="0" w:space="0" w:color="auto"/>
        <w:bottom w:val="none" w:sz="0" w:space="0" w:color="auto"/>
        <w:right w:val="none" w:sz="0" w:space="0" w:color="auto"/>
      </w:divBdr>
      <w:divsChild>
        <w:div w:id="1443301788">
          <w:marLeft w:val="0"/>
          <w:marRight w:val="0"/>
          <w:marTop w:val="0"/>
          <w:marBottom w:val="0"/>
          <w:divBdr>
            <w:top w:val="none" w:sz="0" w:space="0" w:color="auto"/>
            <w:left w:val="none" w:sz="0" w:space="0" w:color="auto"/>
            <w:bottom w:val="none" w:sz="0" w:space="0" w:color="auto"/>
            <w:right w:val="none" w:sz="0" w:space="0" w:color="auto"/>
          </w:divBdr>
          <w:divsChild>
            <w:div w:id="673192971">
              <w:marLeft w:val="0"/>
              <w:marRight w:val="0"/>
              <w:marTop w:val="0"/>
              <w:marBottom w:val="0"/>
              <w:divBdr>
                <w:top w:val="none" w:sz="0" w:space="0" w:color="auto"/>
                <w:left w:val="none" w:sz="0" w:space="0" w:color="auto"/>
                <w:bottom w:val="none" w:sz="0" w:space="0" w:color="auto"/>
                <w:right w:val="none" w:sz="0" w:space="0" w:color="auto"/>
              </w:divBdr>
              <w:divsChild>
                <w:div w:id="556670731">
                  <w:marLeft w:val="0"/>
                  <w:marRight w:val="0"/>
                  <w:marTop w:val="0"/>
                  <w:marBottom w:val="0"/>
                  <w:divBdr>
                    <w:top w:val="none" w:sz="0" w:space="0" w:color="auto"/>
                    <w:left w:val="none" w:sz="0" w:space="0" w:color="auto"/>
                    <w:bottom w:val="none" w:sz="0" w:space="0" w:color="auto"/>
                    <w:right w:val="none" w:sz="0" w:space="0" w:color="auto"/>
                  </w:divBdr>
                </w:div>
                <w:div w:id="1125925747">
                  <w:marLeft w:val="0"/>
                  <w:marRight w:val="0"/>
                  <w:marTop w:val="0"/>
                  <w:marBottom w:val="0"/>
                  <w:divBdr>
                    <w:top w:val="none" w:sz="0" w:space="0" w:color="auto"/>
                    <w:left w:val="none" w:sz="0" w:space="0" w:color="auto"/>
                    <w:bottom w:val="none" w:sz="0" w:space="0" w:color="auto"/>
                    <w:right w:val="none" w:sz="0" w:space="0" w:color="auto"/>
                  </w:divBdr>
                  <w:divsChild>
                    <w:div w:id="10986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c-orleans-tours.fr/dsden3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2020-03-02T09:35:00Z</dcterms:created>
  <dcterms:modified xsi:type="dcterms:W3CDTF">2020-03-02T09:37:00Z</dcterms:modified>
</cp:coreProperties>
</file>